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02945" w:rsidP="00755666" w:rsidRDefault="00102945" w14:paraId="32E1BA1A" w14:textId="77777777">
      <w:pPr>
        <w:spacing w:after="0" w:line="240" w:lineRule="auto"/>
        <w:jc w:val="both"/>
      </w:pPr>
    </w:p>
    <w:p w:rsidRPr="005C3EC8" w:rsidR="00937073" w:rsidP="00755666" w:rsidRDefault="00937073" w14:paraId="277D1625" w14:textId="68F81B3C">
      <w:pPr>
        <w:spacing w:after="0"/>
        <w:jc w:val="both"/>
        <w:rPr>
          <w:rFonts w:ascii="Verdana" w:hAnsi="Verdana" w:eastAsia="Verdana" w:cs="Verdana"/>
          <w:color w:val="156082" w:themeColor="accent1"/>
          <w:sz w:val="40"/>
          <w:szCs w:val="40"/>
        </w:rPr>
      </w:pPr>
      <w:r w:rsidRPr="00185325">
        <w:rPr>
          <w:rFonts w:ascii="Verdana" w:hAnsi="Verdana" w:eastAsia="Verdana" w:cs="Verdana"/>
          <w:color w:val="156082" w:themeColor="accent1"/>
          <w:sz w:val="40"/>
          <w:szCs w:val="40"/>
        </w:rPr>
        <w:t>COMITÉ DE EXPERTOS</w:t>
      </w:r>
      <w:r w:rsidR="00C87F27">
        <w:rPr>
          <w:rFonts w:ascii="Verdana" w:hAnsi="Verdana" w:eastAsia="Verdana" w:cs="Verdana"/>
          <w:color w:val="156082" w:themeColor="accent1"/>
          <w:sz w:val="40"/>
          <w:szCs w:val="40"/>
        </w:rPr>
        <w:t xml:space="preserve"> EXTRAORDINARIO </w:t>
      </w:r>
      <w:r w:rsidRPr="00185325">
        <w:rPr>
          <w:rFonts w:ascii="Verdana" w:hAnsi="Verdana" w:eastAsia="Verdana" w:cs="Verdana"/>
          <w:color w:val="156082" w:themeColor="accent1"/>
          <w:sz w:val="40"/>
          <w:szCs w:val="40"/>
        </w:rPr>
        <w:t xml:space="preserve"> </w:t>
      </w:r>
      <w:r w:rsidR="00C87F27">
        <w:rPr>
          <w:rFonts w:ascii="Verdana" w:hAnsi="Verdana" w:eastAsia="Verdana" w:cs="Verdana"/>
          <w:color w:val="156082" w:themeColor="accent1"/>
          <w:sz w:val="40"/>
          <w:szCs w:val="40"/>
        </w:rPr>
        <w:t>022</w:t>
      </w:r>
      <w:r w:rsidRPr="00185325">
        <w:rPr>
          <w:rFonts w:ascii="Verdana" w:hAnsi="Verdana" w:eastAsia="Verdana" w:cs="Verdana"/>
          <w:color w:val="156082" w:themeColor="accent1"/>
          <w:sz w:val="40"/>
          <w:szCs w:val="40"/>
        </w:rPr>
        <w:t xml:space="preserve"> DE</w:t>
      </w:r>
      <w:r w:rsidRPr="143265F2">
        <w:rPr>
          <w:rFonts w:ascii="Verdana" w:hAnsi="Verdana" w:eastAsia="Verdana" w:cs="Verdana"/>
          <w:color w:val="156082" w:themeColor="accent1"/>
          <w:sz w:val="40"/>
          <w:szCs w:val="40"/>
        </w:rPr>
        <w:t xml:space="preserve"> 2026</w:t>
      </w:r>
    </w:p>
    <w:p w:rsidR="00937073" w:rsidP="00755666" w:rsidRDefault="00C87F27" w14:paraId="04C759D8" w14:textId="218523B1">
      <w:pPr>
        <w:pStyle w:val="Heading1"/>
        <w:pBdr>
          <w:bottom w:val="single" w:color="auto" w:sz="12" w:space="1"/>
        </w:pBdr>
        <w:spacing w:before="0" w:after="0" w:line="240" w:lineRule="auto"/>
        <w:jc w:val="both"/>
        <w:rPr>
          <w:rFonts w:ascii="Verdana" w:hAnsi="Verdana" w:eastAsia="Verdana" w:cs="Verdana"/>
          <w:sz w:val="28"/>
          <w:szCs w:val="28"/>
        </w:rPr>
      </w:pPr>
      <w:r>
        <w:rPr>
          <w:rFonts w:ascii="Verdana" w:hAnsi="Verdana" w:eastAsia="Verdana" w:cs="Verdana"/>
          <w:sz w:val="28"/>
          <w:szCs w:val="28"/>
        </w:rPr>
        <w:t>30</w:t>
      </w:r>
      <w:r w:rsidR="00D74443">
        <w:rPr>
          <w:rFonts w:ascii="Verdana" w:hAnsi="Verdana" w:eastAsia="Verdana" w:cs="Verdana"/>
          <w:sz w:val="28"/>
          <w:szCs w:val="28"/>
        </w:rPr>
        <w:t xml:space="preserve"> </w:t>
      </w:r>
      <w:r w:rsidR="00E1708B">
        <w:rPr>
          <w:rFonts w:ascii="Verdana" w:hAnsi="Verdana" w:eastAsia="Verdana" w:cs="Verdana"/>
          <w:sz w:val="28"/>
          <w:szCs w:val="28"/>
        </w:rPr>
        <w:t xml:space="preserve">de </w:t>
      </w:r>
      <w:r>
        <w:rPr>
          <w:rFonts w:ascii="Verdana" w:hAnsi="Verdana" w:eastAsia="Verdana" w:cs="Verdana"/>
          <w:sz w:val="28"/>
          <w:szCs w:val="28"/>
        </w:rPr>
        <w:t>julio</w:t>
      </w:r>
      <w:r w:rsidRPr="4A6122EB" w:rsidR="00937073">
        <w:rPr>
          <w:rFonts w:ascii="Verdana" w:hAnsi="Verdana" w:eastAsia="Verdana" w:cs="Verdana"/>
          <w:sz w:val="28"/>
          <w:szCs w:val="28"/>
        </w:rPr>
        <w:t xml:space="preserve"> de 2026</w:t>
      </w:r>
    </w:p>
    <w:p w:rsidR="00B65456" w:rsidP="00755666" w:rsidRDefault="00B65456" w14:paraId="331EE7E1" w14:textId="77777777">
      <w:pPr>
        <w:spacing w:after="0" w:line="240" w:lineRule="auto"/>
        <w:jc w:val="both"/>
      </w:pPr>
    </w:p>
    <w:p w:rsidRPr="007F507D" w:rsidR="00937073" w:rsidP="00755666" w:rsidRDefault="00937073" w14:paraId="1D8292FB" w14:textId="77777777">
      <w:pPr>
        <w:spacing w:after="0" w:line="240" w:lineRule="auto"/>
        <w:jc w:val="both"/>
        <w:rPr>
          <w:rFonts w:ascii="Arial" w:hAnsi="Arial" w:eastAsia="Verdana" w:cs="Arial"/>
          <w:b/>
          <w:bCs/>
          <w:color w:val="000000"/>
        </w:rPr>
      </w:pPr>
    </w:p>
    <w:p w:rsidRPr="007F507D" w:rsidR="00937073" w:rsidP="00755666" w:rsidRDefault="00937073" w14:paraId="354D72CA" w14:textId="77777777">
      <w:pPr>
        <w:spacing w:after="0" w:line="240" w:lineRule="auto"/>
        <w:jc w:val="both"/>
        <w:rPr>
          <w:rFonts w:ascii="Arial" w:hAnsi="Arial" w:eastAsia="Verdana" w:cs="Arial"/>
          <w:b/>
          <w:bCs/>
          <w:color w:val="000000"/>
        </w:rPr>
      </w:pPr>
    </w:p>
    <w:tbl>
      <w:tblPr>
        <w:tblStyle w:val="IntenseReference"/>
        <w:tblW w:w="0" w:type="auto"/>
        <w:tblLook w:val="04A0" w:firstRow="1" w:lastRow="0" w:firstColumn="1" w:lastColumn="0" w:noHBand="0" w:noVBand="1"/>
      </w:tblPr>
      <w:tblGrid>
        <w:gridCol w:w="8828"/>
      </w:tblGrid>
      <w:tr w:rsidRPr="00C87F27" w:rsidR="00937073" w:rsidTr="1E7C6998" w14:paraId="0468FE90" w14:textId="77777777">
        <w:trPr>
          <w:trHeight w:val="3786"/>
        </w:trPr>
        <w:tc>
          <w:tcPr>
            <w:tcW w:w="8828" w:type="dxa"/>
          </w:tcPr>
          <w:p w:rsidRPr="00C87F27" w:rsidR="00755666" w:rsidP="00755666" w:rsidRDefault="00755666" w14:paraId="313BDC87" w14:textId="77777777">
            <w:pPr>
              <w:tabs>
                <w:tab w:val="left" w:pos="7200"/>
              </w:tabs>
              <w:jc w:val="both"/>
              <w:rPr>
                <w:rFonts w:ascii="Aptos" w:hAnsi="Aptos" w:eastAsia="Verdana" w:cs="Arial"/>
                <w:color w:val="000000"/>
              </w:rPr>
            </w:pPr>
          </w:p>
          <w:p w:rsidRPr="00C87F27" w:rsidR="00755666" w:rsidP="00755666" w:rsidRDefault="00755666" w14:paraId="5B016202" w14:textId="77777777">
            <w:pPr>
              <w:jc w:val="center"/>
              <w:rPr>
                <w:rFonts w:ascii="Aptos" w:hAnsi="Aptos" w:eastAsia="Verdana" w:cs="Arial"/>
                <w:b/>
                <w:bCs/>
                <w:color w:val="000000"/>
              </w:rPr>
            </w:pPr>
            <w:r w:rsidRPr="00C87F27">
              <w:rPr>
                <w:rFonts w:ascii="Aptos" w:hAnsi="Aptos" w:eastAsia="Verdana" w:cs="Arial"/>
                <w:b/>
                <w:bCs/>
                <w:color w:val="000000"/>
              </w:rPr>
              <w:t>ORDEN DEL DÍA</w:t>
            </w:r>
          </w:p>
          <w:p w:rsidRPr="00C87F27" w:rsidR="00755666" w:rsidP="00755666" w:rsidRDefault="00755666" w14:paraId="5F19C5BC" w14:textId="77777777">
            <w:pPr>
              <w:jc w:val="both"/>
              <w:rPr>
                <w:rFonts w:ascii="Aptos" w:hAnsi="Aptos" w:eastAsia="Verdana" w:cs="Arial"/>
                <w:b/>
                <w:bCs/>
                <w:color w:val="000000"/>
              </w:rPr>
            </w:pPr>
          </w:p>
          <w:p w:rsidRPr="00C87F27" w:rsidR="00755666" w:rsidP="00755666" w:rsidRDefault="00755666" w14:paraId="7AC3A36C" w14:textId="77777777">
            <w:pPr>
              <w:jc w:val="both"/>
              <w:rPr>
                <w:rFonts w:ascii="Aptos" w:hAnsi="Aptos" w:eastAsia="Verdana" w:cs="Arial"/>
                <w:b/>
                <w:bCs/>
                <w:color w:val="000000"/>
              </w:rPr>
            </w:pPr>
          </w:p>
          <w:p w:rsidRPr="00C87F27" w:rsidR="00755666" w:rsidP="00755666" w:rsidRDefault="00755666" w14:paraId="3E61562D" w14:textId="77777777">
            <w:pPr>
              <w:numPr>
                <w:ilvl w:val="0"/>
                <w:numId w:val="13"/>
              </w:numPr>
              <w:jc w:val="both"/>
              <w:rPr>
                <w:rFonts w:ascii="Aptos" w:hAnsi="Aptos" w:eastAsia="Verdana" w:cs="Arial"/>
                <w:b/>
                <w:bCs/>
                <w:color w:val="000000"/>
              </w:rPr>
            </w:pPr>
            <w:r w:rsidRPr="00C87F27">
              <w:rPr>
                <w:rFonts w:ascii="Aptos" w:hAnsi="Aptos" w:eastAsia="Verdana" w:cs="Arial"/>
                <w:b/>
                <w:bCs/>
                <w:color w:val="000000"/>
              </w:rPr>
              <w:t>VERIFICACIÓN DEL QUÓRUM</w:t>
            </w:r>
          </w:p>
          <w:p w:rsidRPr="00C87F27" w:rsidR="00755666" w:rsidP="00755666" w:rsidRDefault="00755666" w14:paraId="3733E493" w14:textId="77777777">
            <w:pPr>
              <w:jc w:val="both"/>
              <w:rPr>
                <w:rFonts w:ascii="Aptos" w:hAnsi="Aptos" w:eastAsia="Verdana" w:cs="Arial"/>
                <w:color w:val="000000"/>
              </w:rPr>
            </w:pPr>
          </w:p>
          <w:p w:rsidRPr="00C87F27" w:rsidR="00755666" w:rsidP="00755666" w:rsidRDefault="00755666" w14:paraId="5CD4A847" w14:textId="77777777">
            <w:pPr>
              <w:numPr>
                <w:ilvl w:val="0"/>
                <w:numId w:val="13"/>
              </w:numPr>
              <w:jc w:val="both"/>
              <w:rPr>
                <w:rFonts w:ascii="Aptos" w:hAnsi="Aptos" w:eastAsia="Verdana" w:cs="Arial"/>
                <w:b/>
                <w:bCs/>
                <w:color w:val="000000"/>
              </w:rPr>
            </w:pPr>
            <w:r w:rsidRPr="00C87F27">
              <w:rPr>
                <w:rFonts w:ascii="Aptos" w:hAnsi="Aptos" w:eastAsia="Verdana" w:cs="Arial"/>
                <w:b/>
                <w:bCs/>
                <w:color w:val="000000"/>
              </w:rPr>
              <w:t>LECTURA Y APROBACIÓN DEL ORDEN DEL DÍA</w:t>
            </w:r>
          </w:p>
          <w:p w:rsidRPr="00C87F27" w:rsidR="00755666" w:rsidP="4C89F76D" w:rsidRDefault="00755666" w14:paraId="046A1098" w14:textId="4270FEB9">
            <w:pPr>
              <w:jc w:val="both"/>
              <w:rPr>
                <w:rFonts w:ascii="Aptos" w:hAnsi="Aptos" w:eastAsia="Verdana" w:cs="Arial"/>
                <w:color w:val="000000"/>
              </w:rPr>
            </w:pPr>
          </w:p>
          <w:p w:rsidRPr="00C87F27" w:rsidR="003C75BF" w:rsidP="003C75BF" w:rsidRDefault="00755666" w14:paraId="22D4710B" w14:textId="049E3270">
            <w:pPr>
              <w:jc w:val="both"/>
              <w:rPr>
                <w:rFonts w:ascii="Aptos" w:hAnsi="Aptos" w:eastAsia="Calibri" w:cs="Arial"/>
                <w:b/>
              </w:rPr>
            </w:pPr>
            <w:r w:rsidRPr="00C87F27">
              <w:rPr>
                <w:rFonts w:ascii="Aptos" w:hAnsi="Aptos" w:eastAsia="Verdana" w:cs="Arial"/>
                <w:b/>
                <w:bCs/>
                <w:color w:val="000000"/>
              </w:rPr>
              <w:t xml:space="preserve">3. </w:t>
            </w:r>
            <w:r w:rsidRPr="00C87F27" w:rsidR="00E1708B">
              <w:rPr>
                <w:rFonts w:ascii="Aptos" w:hAnsi="Aptos" w:eastAsia="Verdana" w:cs="Arial"/>
                <w:b/>
                <w:color w:val="000000"/>
              </w:rPr>
              <w:t>Regulaciones de carácter general</w:t>
            </w:r>
          </w:p>
          <w:p w:rsidRPr="00C87F27" w:rsidR="003C75BF" w:rsidP="003C75BF" w:rsidRDefault="003C75BF" w14:paraId="4B016C3E" w14:textId="77777777">
            <w:pPr>
              <w:rPr>
                <w:rFonts w:ascii="Aptos" w:hAnsi="Aptos" w:eastAsia="Verdana" w:cs="Arial"/>
                <w:color w:val="000000"/>
              </w:rPr>
            </w:pPr>
          </w:p>
          <w:p w:rsidRPr="00C87F27" w:rsidR="4EBC14C5" w:rsidP="00C87F27" w:rsidRDefault="4EBC14C5" w14:paraId="5CB543B9" w14:textId="07BB8DFF">
            <w:pPr>
              <w:pBdr>
                <w:top w:val="nil"/>
                <w:left w:val="nil"/>
                <w:bottom w:val="nil"/>
                <w:right w:val="nil"/>
                <w:between w:val="nil"/>
              </w:pBdr>
              <w:ind w:left="708"/>
              <w:jc w:val="both"/>
              <w:rPr>
                <w:rFonts w:ascii="Aptos" w:hAnsi="Aptos"/>
              </w:rPr>
            </w:pPr>
            <w:r w:rsidRPr="00C87F27">
              <w:rPr>
                <w:rFonts w:ascii="Aptos" w:hAnsi="Aptos" w:eastAsia="Verdana" w:cs="Arial"/>
                <w:color w:val="000000" w:themeColor="text1"/>
              </w:rPr>
              <w:t xml:space="preserve">3.1. </w:t>
            </w:r>
            <w:r w:rsidRPr="00C87F27" w:rsidR="61A67832">
              <w:rPr>
                <w:rFonts w:ascii="Aptos" w:hAnsi="Aptos" w:eastAsia="Verdana" w:cs="Arial"/>
                <w:color w:val="000000" w:themeColor="text1"/>
              </w:rPr>
              <w:t xml:space="preserve">Aprobación para presentar a la comisión el </w:t>
            </w:r>
            <w:r w:rsidRPr="00C87F27" w:rsidR="26E49F8C">
              <w:rPr>
                <w:rFonts w:ascii="Aptos" w:hAnsi="Aptos" w:eastAsia="Verdana" w:cs="Arial"/>
                <w:color w:val="000000" w:themeColor="text1"/>
              </w:rPr>
              <w:t xml:space="preserve">proyecto de resolución </w:t>
            </w:r>
            <w:r w:rsidRPr="00C87F27" w:rsidR="26E49F8C">
              <w:rPr>
                <w:rFonts w:ascii="Aptos" w:hAnsi="Aptos" w:eastAsia="Verdana" w:cs="Verdana"/>
                <w:i/>
                <w:iCs/>
              </w:rPr>
              <w:t xml:space="preserve">“Por la cual se subroga el Título 2, Parte 3, Libro 5 de la Resolución CRA 943 de 2021, relacionado con la metodología tarifaria a la que deben someterse las personas prestadoras del servicio público de aseo que atiendan municipios y/o distritos de más de 5.000 suscriptores en áreas urbanas, y se dictan otras disposiciones” </w:t>
            </w:r>
            <w:r w:rsidRPr="00C87F27" w:rsidR="26E49F8C">
              <w:rPr>
                <w:rFonts w:ascii="Aptos" w:hAnsi="Aptos" w:eastAsia="Verdana" w:cs="Verdana"/>
              </w:rPr>
              <w:t>junto con el documento de trabajo atendiendo las recomendaciones emitidas por la Superintendencia d</w:t>
            </w:r>
            <w:r w:rsidRPr="00C87F27" w:rsidR="42D7FCAA">
              <w:rPr>
                <w:rFonts w:ascii="Aptos" w:hAnsi="Aptos" w:eastAsia="Verdana" w:cs="Verdana"/>
              </w:rPr>
              <w:t>e Industria y comercio SIC.</w:t>
            </w:r>
          </w:p>
          <w:p w:rsidRPr="00C87F27" w:rsidR="007F507D" w:rsidP="007F507D" w:rsidRDefault="007F507D" w14:paraId="23977E72" w14:textId="77777777">
            <w:pPr>
              <w:pBdr>
                <w:top w:val="nil"/>
                <w:left w:val="nil"/>
                <w:bottom w:val="nil"/>
                <w:right w:val="nil"/>
                <w:between w:val="nil"/>
              </w:pBdr>
              <w:rPr>
                <w:rFonts w:ascii="Aptos" w:hAnsi="Aptos" w:eastAsia="Verdana" w:cs="Arial"/>
                <w:color w:val="000000"/>
              </w:rPr>
            </w:pPr>
          </w:p>
          <w:p w:rsidRPr="00C87F27" w:rsidR="00937073" w:rsidP="003C75BF" w:rsidRDefault="00937073" w14:paraId="59A0AF11" w14:textId="3CCBA5F9">
            <w:pPr>
              <w:rPr>
                <w:rFonts w:ascii="Aptos" w:hAnsi="Aptos" w:eastAsia="Verdana" w:cs="Arial"/>
                <w:color w:val="000000"/>
              </w:rPr>
            </w:pPr>
          </w:p>
        </w:tc>
      </w:tr>
    </w:tbl>
    <w:p w:rsidRPr="007F507D" w:rsidR="00937073" w:rsidP="00755666" w:rsidRDefault="00937073" w14:paraId="47C3524E" w14:textId="77777777">
      <w:pPr>
        <w:spacing w:after="0" w:line="240" w:lineRule="auto"/>
        <w:jc w:val="both"/>
        <w:rPr>
          <w:rFonts w:ascii="Arial" w:hAnsi="Arial" w:cs="Arial"/>
        </w:rPr>
      </w:pPr>
    </w:p>
    <w:p w:rsidRPr="007F507D" w:rsidR="00755666" w:rsidP="00755666" w:rsidRDefault="00755666" w14:paraId="1EAD5F38" w14:textId="77777777">
      <w:pPr>
        <w:pStyle w:val="Heading1"/>
        <w:numPr>
          <w:ilvl w:val="0"/>
          <w:numId w:val="3"/>
        </w:numPr>
        <w:spacing w:before="0" w:after="0" w:line="240" w:lineRule="auto"/>
        <w:jc w:val="both"/>
        <w:rPr>
          <w:rFonts w:ascii="Arial" w:hAnsi="Arial" w:eastAsia="Verdana" w:cs="Arial"/>
          <w:b/>
          <w:bCs/>
          <w:sz w:val="22"/>
          <w:szCs w:val="22"/>
        </w:rPr>
      </w:pPr>
      <w:r w:rsidRPr="007F507D">
        <w:rPr>
          <w:rFonts w:ascii="Arial" w:hAnsi="Arial" w:eastAsia="Verdana" w:cs="Arial"/>
          <w:b/>
          <w:bCs/>
          <w:sz w:val="22"/>
          <w:szCs w:val="22"/>
        </w:rPr>
        <w:t>VERIFICACIÓN DEL QUÓRUM</w:t>
      </w:r>
    </w:p>
    <w:p w:rsidRPr="007F507D" w:rsidR="00755666" w:rsidP="00755666" w:rsidRDefault="00755666" w14:paraId="7C2AAAB3" w14:textId="77777777">
      <w:pPr>
        <w:pStyle w:val="ListParagraph"/>
        <w:ind w:left="360"/>
        <w:rPr>
          <w:rFonts w:ascii="Arial" w:hAnsi="Arial" w:eastAsia="Verdana" w:cs="Arial"/>
        </w:rPr>
      </w:pPr>
      <w:r w:rsidRPr="007F507D">
        <w:rPr>
          <w:rFonts w:ascii="Arial" w:hAnsi="Arial" w:eastAsia="Verdana" w:cs="Arial"/>
        </w:rPr>
        <w:t>Presente</w:t>
      </w:r>
    </w:p>
    <w:p w:rsidRPr="007F507D" w:rsidR="00755666" w:rsidP="00755666" w:rsidRDefault="00755666" w14:paraId="3692D6BA" w14:textId="77777777">
      <w:pPr>
        <w:pStyle w:val="Heading1"/>
        <w:numPr>
          <w:ilvl w:val="0"/>
          <w:numId w:val="3"/>
        </w:numPr>
        <w:spacing w:before="0" w:after="0" w:line="240" w:lineRule="auto"/>
        <w:jc w:val="both"/>
        <w:rPr>
          <w:rFonts w:ascii="Arial" w:hAnsi="Arial" w:eastAsia="Verdana" w:cs="Arial"/>
          <w:b/>
          <w:bCs/>
          <w:sz w:val="22"/>
          <w:szCs w:val="22"/>
        </w:rPr>
      </w:pPr>
      <w:r w:rsidRPr="007F507D">
        <w:rPr>
          <w:rFonts w:ascii="Arial" w:hAnsi="Arial" w:eastAsia="Verdana" w:cs="Arial"/>
          <w:b/>
          <w:bCs/>
          <w:sz w:val="22"/>
          <w:szCs w:val="22"/>
        </w:rPr>
        <w:t>LECTURA Y APROBACIÓN DEL ORDEN DEL DIA</w:t>
      </w:r>
    </w:p>
    <w:p w:rsidRPr="007F507D" w:rsidR="00755666" w:rsidP="00755666" w:rsidRDefault="00755666" w14:paraId="3A447C6E" w14:textId="77777777">
      <w:pPr>
        <w:pStyle w:val="ListParagraph"/>
        <w:ind w:left="360"/>
        <w:rPr>
          <w:rFonts w:ascii="Arial" w:hAnsi="Arial" w:eastAsia="Verdana" w:cs="Arial"/>
        </w:rPr>
      </w:pPr>
      <w:r w:rsidRPr="007F507D">
        <w:rPr>
          <w:rFonts w:ascii="Arial" w:hAnsi="Arial" w:eastAsia="Verdana" w:cs="Arial"/>
        </w:rPr>
        <w:t>Aprobado</w:t>
      </w:r>
    </w:p>
    <w:p w:rsidRPr="007F507D" w:rsidR="00755BA2" w:rsidP="1E7C6998" w:rsidRDefault="4EA31032" w14:paraId="219F0427" w14:textId="6089B71D">
      <w:pPr>
        <w:pStyle w:val="Heading1"/>
        <w:numPr>
          <w:ilvl w:val="0"/>
          <w:numId w:val="3"/>
        </w:numPr>
        <w:spacing w:before="0" w:after="0" w:line="240" w:lineRule="auto"/>
        <w:jc w:val="both"/>
        <w:rPr>
          <w:rFonts w:ascii="Arial" w:hAnsi="Arial" w:cs="Arial"/>
          <w:b/>
          <w:bCs/>
          <w:sz w:val="22"/>
          <w:szCs w:val="22"/>
        </w:rPr>
      </w:pPr>
      <w:r w:rsidRPr="1E7C6998">
        <w:rPr>
          <w:rFonts w:ascii="Arial" w:hAnsi="Arial" w:cs="Arial"/>
          <w:b/>
          <w:bCs/>
          <w:sz w:val="22"/>
          <w:szCs w:val="22"/>
        </w:rPr>
        <w:t>REGULACIONES DE CARACTER GENERAL</w:t>
      </w:r>
    </w:p>
    <w:p w:rsidRPr="007F507D" w:rsidR="00755BA2" w:rsidP="00755BA2" w:rsidRDefault="00755BA2" w14:paraId="6C6F1EE3" w14:textId="77777777">
      <w:pPr>
        <w:rPr>
          <w:rFonts w:ascii="Arial" w:hAnsi="Arial" w:cs="Arial"/>
          <w:b/>
          <w:bCs/>
        </w:rPr>
      </w:pPr>
    </w:p>
    <w:p w:rsidRPr="00C87F27" w:rsidR="00755BA2" w:rsidP="1E7C6998" w:rsidRDefault="4503DA16" w14:paraId="7E00D8AE" w14:textId="3050320E">
      <w:pPr>
        <w:jc w:val="both"/>
        <w:rPr>
          <w:i/>
          <w:iCs/>
          <w:color w:val="156082" w:themeColor="accent1"/>
        </w:rPr>
      </w:pPr>
      <w:r w:rsidRPr="00C87F27">
        <w:rPr>
          <w:rFonts w:ascii="Arial" w:hAnsi="Arial" w:cs="Arial"/>
          <w:i/>
          <w:iCs/>
          <w:color w:val="156082" w:themeColor="accent1"/>
        </w:rPr>
        <w:t xml:space="preserve">3.1. </w:t>
      </w:r>
      <w:r w:rsidRPr="00C87F27" w:rsidR="7C0A688F">
        <w:rPr>
          <w:rFonts w:ascii="Arial" w:hAnsi="Arial" w:cs="Arial"/>
          <w:i/>
          <w:iCs/>
          <w:color w:val="156082" w:themeColor="accent1"/>
        </w:rPr>
        <w:t>Aprobación para presentar a la comisión el proyecto de resolución “Por la cual se subroga el Título 2, Parte 3, Libro 5 de la Resolución CRA 943 de 2021, relacionado con la metodología tarifaria a la que deben someterse las personas prestadoras del servicio público de aseo que atiendan municipios y/o distritos de más de 5.000 suscriptores en áreas urbanas, y se dictan otras disposiciones” junto con el documento de trabajo atendiendo las recomendaciones emitidas por la Superintendencia de Industria y comercio SIC.</w:t>
      </w:r>
    </w:p>
    <w:p w:rsidR="007F507D" w:rsidP="007F507D" w:rsidRDefault="007F507D" w14:paraId="2729D3D7" w14:textId="77777777">
      <w:pPr>
        <w:rPr>
          <w:rFonts w:ascii="Arial" w:hAnsi="Arial" w:cs="Arial"/>
        </w:rPr>
      </w:pPr>
    </w:p>
    <w:p w:rsidRPr="00E92577" w:rsidR="00E92577" w:rsidP="007F507D" w:rsidRDefault="00E92577" w14:paraId="18F03775" w14:textId="423E5898">
      <w:pPr>
        <w:rPr>
          <w:rFonts w:ascii="Arial" w:hAnsi="Arial" w:cs="Arial"/>
          <w:b/>
          <w:bCs/>
        </w:rPr>
      </w:pPr>
      <w:r w:rsidRPr="00E92577">
        <w:rPr>
          <w:rFonts w:ascii="Arial" w:hAnsi="Arial" w:cs="Arial"/>
          <w:b/>
          <w:bCs/>
        </w:rPr>
        <w:t>COMENTARIO EXPERTA COMIS</w:t>
      </w:r>
      <w:r>
        <w:rPr>
          <w:rFonts w:ascii="Arial" w:hAnsi="Arial" w:cs="Arial"/>
          <w:b/>
          <w:bCs/>
        </w:rPr>
        <w:t>I</w:t>
      </w:r>
      <w:r w:rsidRPr="00E92577">
        <w:rPr>
          <w:rFonts w:ascii="Arial" w:hAnsi="Arial" w:cs="Arial"/>
          <w:b/>
          <w:bCs/>
        </w:rPr>
        <w:t>ONADA</w:t>
      </w:r>
    </w:p>
    <w:p w:rsidRPr="008915C3" w:rsidR="00E92577" w:rsidP="00E92577" w:rsidRDefault="00E92577" w14:paraId="5CE612FB" w14:textId="0437B06D">
      <w:pPr>
        <w:jc w:val="both"/>
        <w:rPr>
          <w:rFonts w:ascii="Arial" w:hAnsi="Arial" w:cs="Arial"/>
        </w:rPr>
      </w:pPr>
      <w:r w:rsidRPr="008915C3">
        <w:rPr>
          <w:rFonts w:ascii="Arial" w:hAnsi="Arial" w:cs="Arial"/>
        </w:rPr>
        <w:t>De acuerdo como lo ha presentado el equipo técnico-jurídico de la UAE CRA,  la Superintendencia de Industria y Comercio (SIC), en ejercicio de la función de Abogacía de la Competencia, emitió concepto respecto del proyecto de resolución mediante el cual se subroga el Título 2, Parte 3, Libro 5 de la Resolución CRA 943 de 2021, correspondiente a la metodología tarifaria aplicable a los prestadores del servicio público de aseo que atienden municipios y/o distritos con más de 5.000 suscriptores en áreas urbanas.</w:t>
      </w:r>
    </w:p>
    <w:p w:rsidRPr="008915C3" w:rsidR="00E92577" w:rsidP="00E92577" w:rsidRDefault="00E92577" w14:paraId="3EF18ED8" w14:textId="104C49F1">
      <w:pPr>
        <w:jc w:val="both"/>
        <w:rPr>
          <w:rFonts w:ascii="Arial" w:hAnsi="Arial" w:cs="Arial"/>
        </w:rPr>
      </w:pPr>
      <w:r w:rsidRPr="008915C3">
        <w:rPr>
          <w:rFonts w:ascii="Arial" w:hAnsi="Arial" w:cs="Arial"/>
        </w:rPr>
        <w:t xml:space="preserve">Es de señalar que el concepto </w:t>
      </w:r>
      <w:r w:rsidRPr="008915C3" w:rsidR="00C7647A">
        <w:rPr>
          <w:rFonts w:ascii="Arial" w:hAnsi="Arial" w:cs="Arial"/>
        </w:rPr>
        <w:t xml:space="preserve">de la SIC </w:t>
      </w:r>
      <w:r w:rsidRPr="008915C3" w:rsidR="00C7647A">
        <w:rPr>
          <w:rFonts w:ascii="Arial" w:hAnsi="Arial" w:cs="Arial"/>
          <w:b/>
          <w:bCs/>
        </w:rPr>
        <w:t>no cuestiona la necesidad del nuevo marco tarifario</w:t>
      </w:r>
      <w:r w:rsidRPr="008915C3" w:rsidR="00C7647A">
        <w:rPr>
          <w:rFonts w:ascii="Arial" w:hAnsi="Arial" w:cs="Arial"/>
        </w:rPr>
        <w:t xml:space="preserve">, sino que respalda el trabajo técnico realizado por la CRA y sus objetivos de política pública. No obstante, solicita fortalecer la motivación y el sustento técnico de varios aspectos regulatorios que podrían afectar la libre competencia, especialmente en materia de diferenciación entre prestadores, segmentación, calidad del servicio, remuneración del aprovechamiento y construcción de los parámetros tarifarios, elementos que </w:t>
      </w:r>
      <w:r w:rsidRPr="008915C3">
        <w:rPr>
          <w:rFonts w:ascii="Arial" w:hAnsi="Arial" w:cs="Arial"/>
        </w:rPr>
        <w:t>podrían incidir sobre las condiciones de competencia del mercado.</w:t>
      </w:r>
    </w:p>
    <w:p w:rsidRPr="008915C3" w:rsidR="00E92577" w:rsidP="00E92577" w:rsidRDefault="00E92577" w14:paraId="5401BA3A" w14:textId="77777777">
      <w:pPr>
        <w:jc w:val="both"/>
        <w:rPr>
          <w:rFonts w:ascii="Arial" w:hAnsi="Arial" w:cs="Arial"/>
        </w:rPr>
      </w:pPr>
      <w:r w:rsidRPr="008915C3">
        <w:rPr>
          <w:rFonts w:ascii="Arial" w:hAnsi="Arial" w:cs="Arial"/>
        </w:rPr>
        <w:t>En consecuencia, desde la perspectiva regulatoria, las recomendaciones de la SIC constituyen una oportunidad para reforzar la robustez técnica y la seguridad jurídica del proyecto de resolución, mediante la ampliación de las justificaciones que soportan las medidas regulatorias propuestas, sin que ello implique modificar necesariamente la orientación general del nuevo marco tarifario.</w:t>
      </w:r>
    </w:p>
    <w:p w:rsidRPr="008915C3" w:rsidR="00882C56" w:rsidP="00E92577" w:rsidRDefault="00882C56" w14:paraId="66BA63A3" w14:textId="0730C252">
      <w:pPr>
        <w:jc w:val="both"/>
        <w:rPr>
          <w:rFonts w:ascii="Arial" w:hAnsi="Arial" w:cs="Arial"/>
        </w:rPr>
      </w:pPr>
      <w:r w:rsidRPr="008915C3">
        <w:rPr>
          <w:rFonts w:ascii="Arial" w:hAnsi="Arial" w:cs="Arial"/>
        </w:rPr>
        <w:t xml:space="preserve">De manera puntual </w:t>
      </w:r>
      <w:r w:rsidRPr="008915C3" w:rsidR="00696D55">
        <w:rPr>
          <w:rFonts w:ascii="Arial" w:hAnsi="Arial" w:cs="Arial"/>
        </w:rPr>
        <w:t>la SIC formuló ocho 8 recomendaciones principales (más una solicitud procedimental), orientadas a fortalecer la justificación técnica, económica y de competencia del proyecto,</w:t>
      </w:r>
      <w:r w:rsidRPr="008915C3" w:rsidR="00837E14">
        <w:rPr>
          <w:rFonts w:ascii="Arial" w:hAnsi="Arial" w:cs="Arial"/>
        </w:rPr>
        <w:t xml:space="preserve"> </w:t>
      </w:r>
      <w:r w:rsidRPr="008915C3" w:rsidR="00696D55">
        <w:rPr>
          <w:rFonts w:ascii="Arial" w:hAnsi="Arial" w:cs="Arial"/>
        </w:rPr>
        <w:t>las cuales han sido analizadas por el equipo técnico de</w:t>
      </w:r>
      <w:r w:rsidR="007E03FC">
        <w:rPr>
          <w:rFonts w:ascii="Arial" w:hAnsi="Arial" w:cs="Arial"/>
        </w:rPr>
        <w:t xml:space="preserve"> </w:t>
      </w:r>
      <w:r w:rsidRPr="008915C3" w:rsidR="00696D55">
        <w:rPr>
          <w:rFonts w:ascii="Arial" w:hAnsi="Arial" w:cs="Arial"/>
        </w:rPr>
        <w:t>la UAE-CRA</w:t>
      </w:r>
    </w:p>
    <w:p w:rsidR="009A088C" w:rsidP="00E92577" w:rsidRDefault="009A088C" w14:paraId="7B33AF56" w14:textId="77777777">
      <w:pPr>
        <w:jc w:val="both"/>
        <w:rPr>
          <w:rFonts w:ascii="Arial" w:hAnsi="Arial" w:cs="Arial"/>
        </w:rPr>
      </w:pPr>
    </w:p>
    <w:p w:rsidRPr="008915C3" w:rsidR="00696D55" w:rsidP="00696D55" w:rsidRDefault="00696D55" w14:paraId="187CD1C6" w14:textId="24814036">
      <w:pPr>
        <w:jc w:val="both"/>
        <w:rPr>
          <w:rFonts w:ascii="Arial" w:hAnsi="Arial" w:cs="Arial"/>
          <w:b/>
          <w:bCs/>
          <w:i/>
          <w:iCs/>
        </w:rPr>
      </w:pPr>
      <w:r w:rsidRPr="008915C3">
        <w:rPr>
          <w:rFonts w:ascii="Arial" w:hAnsi="Arial" w:cs="Arial"/>
          <w:b/>
          <w:bCs/>
          <w:i/>
          <w:iCs/>
        </w:rPr>
        <w:t>Solicitud puntual de la SIC a la CRA</w:t>
      </w:r>
    </w:p>
    <w:p w:rsidRPr="008915C3" w:rsidR="00696D55" w:rsidP="00696D55" w:rsidRDefault="00696D55" w14:paraId="07884C69" w14:textId="4109DDF3">
      <w:pPr>
        <w:pStyle w:val="ListParagraph"/>
        <w:numPr>
          <w:ilvl w:val="0"/>
          <w:numId w:val="2"/>
        </w:numPr>
        <w:jc w:val="both"/>
        <w:rPr>
          <w:rFonts w:ascii="Arial" w:hAnsi="Arial" w:cs="Arial"/>
        </w:rPr>
      </w:pPr>
      <w:r w:rsidRPr="008915C3">
        <w:rPr>
          <w:rFonts w:ascii="Arial" w:hAnsi="Arial" w:cs="Arial"/>
          <w:b/>
          <w:bCs/>
        </w:rPr>
        <w:t>Justificar la diferenciación entre ORO y D-ORO</w:t>
      </w:r>
      <w:r w:rsidRPr="008915C3">
        <w:rPr>
          <w:rFonts w:ascii="Arial" w:hAnsi="Arial" w:cs="Arial"/>
        </w:rPr>
        <w:t>, demostrando la necesidad y proporcionalidad de los topes históricos aplicables a las D-ORO y evaluar un límite temporal para dichos topes, evitando restricciones permanentes a la competencia.</w:t>
      </w:r>
    </w:p>
    <w:p w:rsidR="009A00FD" w:rsidP="009A00FD" w:rsidRDefault="009A00FD" w14:paraId="3EBB9DD8" w14:textId="77777777">
      <w:pPr>
        <w:pStyle w:val="ListParagraph"/>
        <w:ind w:left="708"/>
        <w:jc w:val="both"/>
        <w:rPr>
          <w:rFonts w:ascii="Arial" w:hAnsi="Arial" w:cs="Arial"/>
        </w:rPr>
      </w:pPr>
    </w:p>
    <w:p w:rsidRPr="008915C3" w:rsidR="00696D55" w:rsidP="00696D55" w:rsidRDefault="00696D55" w14:paraId="12E80375" w14:textId="33C6B9F8">
      <w:pPr>
        <w:pStyle w:val="ListParagraph"/>
        <w:numPr>
          <w:ilvl w:val="0"/>
          <w:numId w:val="2"/>
        </w:numPr>
        <w:jc w:val="both"/>
        <w:rPr>
          <w:rFonts w:ascii="Arial" w:hAnsi="Arial" w:cs="Arial"/>
        </w:rPr>
      </w:pPr>
      <w:r w:rsidRPr="008915C3">
        <w:rPr>
          <w:rFonts w:ascii="Arial" w:hAnsi="Arial" w:cs="Arial"/>
          <w:b/>
          <w:bCs/>
        </w:rPr>
        <w:t>Justificar por qué las D-ORO no reciben el componente CREAᵣ</w:t>
      </w:r>
      <w:r w:rsidRPr="008915C3">
        <w:rPr>
          <w:rFonts w:ascii="Arial" w:hAnsi="Arial" w:cs="Arial"/>
        </w:rPr>
        <w:t>, explicando las razones técnicas, económicas o jurídicas para evitar tratos diferenciales injustificados.</w:t>
      </w:r>
    </w:p>
    <w:p w:rsidR="00480567" w:rsidP="00480567" w:rsidRDefault="00480567" w14:paraId="6A4A5C4F" w14:textId="77777777">
      <w:pPr>
        <w:pStyle w:val="ListParagraph"/>
        <w:ind w:left="708"/>
        <w:jc w:val="both"/>
        <w:rPr>
          <w:rFonts w:ascii="Arial" w:hAnsi="Arial" w:cs="Arial"/>
        </w:rPr>
      </w:pPr>
    </w:p>
    <w:p w:rsidRPr="008915C3" w:rsidR="00696D55" w:rsidP="00696D55" w:rsidRDefault="00696D55" w14:paraId="69D95287" w14:textId="6522274B">
      <w:pPr>
        <w:pStyle w:val="ListParagraph"/>
        <w:numPr>
          <w:ilvl w:val="0"/>
          <w:numId w:val="2"/>
        </w:numPr>
        <w:jc w:val="both"/>
        <w:rPr>
          <w:rFonts w:ascii="Arial" w:hAnsi="Arial" w:cs="Arial"/>
        </w:rPr>
      </w:pPr>
      <w:r w:rsidRPr="008915C3">
        <w:rPr>
          <w:rFonts w:ascii="Arial" w:hAnsi="Arial" w:cs="Arial"/>
          <w:b/>
          <w:bCs/>
        </w:rPr>
        <w:t>Revisar el esquema de descuentos por calidad</w:t>
      </w:r>
      <w:r w:rsidRPr="008915C3">
        <w:rPr>
          <w:rFonts w:ascii="Arial" w:hAnsi="Arial" w:cs="Arial"/>
        </w:rPr>
        <w:t>, verificando que incentive la mejora del servicio sin promover rechazos estratégicos de reclamaciones, incorporando indicadores objetivos y diferenciando reclamaciones procedentes e improcedentes.</w:t>
      </w:r>
    </w:p>
    <w:p w:rsidR="00CF6B21" w:rsidP="00CF6B21" w:rsidRDefault="00CF6B21" w14:paraId="44B24266" w14:textId="77777777">
      <w:pPr>
        <w:pStyle w:val="ListParagraph"/>
        <w:ind w:left="708"/>
        <w:jc w:val="both"/>
        <w:rPr>
          <w:rFonts w:ascii="Arial" w:hAnsi="Arial" w:cs="Arial"/>
        </w:rPr>
      </w:pPr>
    </w:p>
    <w:p w:rsidRPr="008915C3" w:rsidR="00696D55" w:rsidP="00696D55" w:rsidRDefault="00696D55" w14:paraId="513FF9A1" w14:textId="2B6B0BD9">
      <w:pPr>
        <w:pStyle w:val="ListParagraph"/>
        <w:numPr>
          <w:ilvl w:val="0"/>
          <w:numId w:val="2"/>
        </w:numPr>
        <w:jc w:val="both"/>
        <w:rPr>
          <w:rFonts w:ascii="Arial" w:hAnsi="Arial" w:cs="Arial"/>
        </w:rPr>
      </w:pPr>
      <w:r w:rsidRPr="008915C3">
        <w:rPr>
          <w:rFonts w:ascii="Arial" w:hAnsi="Arial" w:cs="Arial"/>
          <w:b/>
          <w:bCs/>
        </w:rPr>
        <w:t>Sustentar técnicamente los indicadores de calidad,</w:t>
      </w:r>
      <w:r w:rsidRPr="008915C3">
        <w:rPr>
          <w:rFonts w:ascii="Arial" w:hAnsi="Arial" w:cs="Arial"/>
        </w:rPr>
        <w:t xml:space="preserve"> verificando que los umbrales respondan a criterios de necesidad, proporcionalidad y razonabilidad, sin afectar la suficiencia financiera ni generar barreras a prestadores eficientes.</w:t>
      </w:r>
    </w:p>
    <w:p w:rsidRPr="00193870" w:rsidR="00193870" w:rsidP="00193870" w:rsidRDefault="00193870" w14:paraId="2F301082" w14:textId="77777777">
      <w:pPr>
        <w:pStyle w:val="ListParagraph"/>
        <w:rPr>
          <w:rFonts w:ascii="Arial" w:hAnsi="Arial" w:cs="Arial"/>
        </w:rPr>
      </w:pPr>
    </w:p>
    <w:p w:rsidRPr="008915C3" w:rsidR="00696D55" w:rsidP="00696D55" w:rsidRDefault="00696D55" w14:paraId="1E58879B" w14:textId="58C7DB4B">
      <w:pPr>
        <w:pStyle w:val="ListParagraph"/>
        <w:numPr>
          <w:ilvl w:val="0"/>
          <w:numId w:val="2"/>
        </w:numPr>
        <w:jc w:val="both"/>
        <w:rPr>
          <w:rFonts w:ascii="Arial" w:hAnsi="Arial" w:cs="Arial"/>
        </w:rPr>
      </w:pPr>
      <w:r w:rsidRPr="008915C3">
        <w:rPr>
          <w:rFonts w:ascii="Arial" w:hAnsi="Arial" w:cs="Arial"/>
          <w:b/>
          <w:bCs/>
        </w:rPr>
        <w:t>Justificar la representatividad de la muestra utilizada para construir los clústeres</w:t>
      </w:r>
      <w:r w:rsidRPr="008915C3">
        <w:rPr>
          <w:rFonts w:ascii="Arial" w:hAnsi="Arial" w:cs="Arial"/>
        </w:rPr>
        <w:t xml:space="preserve"> de barrido y limpieza y realizar seguimiento periódico a dichos parámetros conforme mejore la información del SUI.</w:t>
      </w:r>
    </w:p>
    <w:p w:rsidRPr="008069F6" w:rsidR="008069F6" w:rsidP="008069F6" w:rsidRDefault="008069F6" w14:paraId="54F13A9E" w14:textId="77777777">
      <w:pPr>
        <w:pStyle w:val="ListParagraph"/>
        <w:rPr>
          <w:rFonts w:ascii="Arial" w:hAnsi="Arial" w:cs="Arial"/>
        </w:rPr>
      </w:pPr>
    </w:p>
    <w:p w:rsidRPr="008915C3" w:rsidR="00696D55" w:rsidP="00696D55" w:rsidRDefault="00696D55" w14:paraId="45571149" w14:textId="57F64A80">
      <w:pPr>
        <w:pStyle w:val="ListParagraph"/>
        <w:numPr>
          <w:ilvl w:val="0"/>
          <w:numId w:val="2"/>
        </w:numPr>
        <w:jc w:val="both"/>
        <w:rPr>
          <w:rFonts w:ascii="Arial" w:hAnsi="Arial" w:cs="Arial"/>
        </w:rPr>
      </w:pPr>
      <w:r w:rsidRPr="1D33EB28" w:rsidR="00696D55">
        <w:rPr>
          <w:rFonts w:ascii="Arial" w:hAnsi="Arial" w:cs="Arial"/>
          <w:b w:val="1"/>
          <w:bCs w:val="1"/>
        </w:rPr>
        <w:t>Aclarar las reglas sobre el reconocimiento de la tonelada mínima mensual para recicladores,</w:t>
      </w:r>
      <w:r w:rsidRPr="1D33EB28" w:rsidR="00696D55">
        <w:rPr>
          <w:rFonts w:ascii="Arial" w:hAnsi="Arial" w:cs="Arial"/>
        </w:rPr>
        <w:t xml:space="preserve"> precisando cuándo aplica, cómo opera en casos de multiafiliación y estableciendo mecanismos de supervisión para evitar dobles reconocimientos tarifarios.</w:t>
      </w:r>
    </w:p>
    <w:p w:rsidRPr="008915C3" w:rsidR="00696D55" w:rsidP="00696D55" w:rsidRDefault="00696D55" w14:paraId="383EFE67" w14:textId="118E2076">
      <w:pPr>
        <w:pStyle w:val="ListParagraph"/>
        <w:numPr>
          <w:ilvl w:val="0"/>
          <w:numId w:val="2"/>
        </w:numPr>
        <w:jc w:val="both"/>
        <w:rPr>
          <w:rFonts w:ascii="Arial" w:hAnsi="Arial" w:cs="Arial"/>
        </w:rPr>
      </w:pPr>
      <w:r w:rsidRPr="008915C3">
        <w:rPr>
          <w:rFonts w:ascii="Arial" w:hAnsi="Arial" w:cs="Arial"/>
          <w:b/>
          <w:bCs/>
        </w:rPr>
        <w:t>Precisar la entrada en vigencia de las obligaciones de afiliación al Sistema General de Riesgos Laborales (SGRL) y BEPS</w:t>
      </w:r>
      <w:r w:rsidRPr="008915C3">
        <w:rPr>
          <w:rFonts w:ascii="Arial" w:hAnsi="Arial" w:cs="Arial"/>
        </w:rPr>
        <w:t>, condicionándolas a la expedición de la regulación sobre multiafiliación.</w:t>
      </w:r>
    </w:p>
    <w:p w:rsidRPr="008915C3" w:rsidR="00696D55" w:rsidP="00696D55" w:rsidRDefault="00696D55" w14:paraId="63B289EF" w14:textId="4E07D78B">
      <w:pPr>
        <w:pStyle w:val="ListParagraph"/>
        <w:numPr>
          <w:ilvl w:val="0"/>
          <w:numId w:val="2"/>
        </w:numPr>
        <w:jc w:val="both"/>
        <w:rPr>
          <w:rFonts w:ascii="Arial" w:hAnsi="Arial" w:cs="Arial"/>
        </w:rPr>
      </w:pPr>
      <w:r w:rsidRPr="008915C3">
        <w:rPr>
          <w:rFonts w:ascii="Arial" w:hAnsi="Arial" w:cs="Arial"/>
          <w:b/>
          <w:bCs/>
        </w:rPr>
        <w:t>Complementar la justificación de la segmentación GEA–DGEA</w:t>
      </w:r>
      <w:r w:rsidRPr="008915C3">
        <w:rPr>
          <w:rFonts w:ascii="Arial" w:hAnsi="Arial" w:cs="Arial"/>
        </w:rPr>
        <w:t>, demostrando que los criterios societarios reflejan diferencias reales de costos, escala y capacidad operativa, e incorporar un análisis de competencia desde la oferta y la demanda (elasticidad, posibilidad de elección de usuarios, entrada de nuevos prestadores e infraestructura).</w:t>
      </w:r>
    </w:p>
    <w:p w:rsidRPr="008915C3" w:rsidR="00882C56" w:rsidP="00696D55" w:rsidRDefault="00696D55" w14:paraId="2A555CCF" w14:textId="4E619CB1">
      <w:pPr>
        <w:pStyle w:val="ListParagraph"/>
        <w:numPr>
          <w:ilvl w:val="0"/>
          <w:numId w:val="2"/>
        </w:numPr>
        <w:jc w:val="both"/>
        <w:rPr>
          <w:rFonts w:ascii="Arial" w:hAnsi="Arial" w:cs="Arial"/>
        </w:rPr>
      </w:pPr>
      <w:r w:rsidRPr="008915C3">
        <w:rPr>
          <w:rFonts w:ascii="Arial" w:hAnsi="Arial" w:cs="Arial"/>
          <w:b/>
          <w:bCs/>
        </w:rPr>
        <w:t>Solicitud procedimental</w:t>
      </w:r>
      <w:r w:rsidRPr="008915C3">
        <w:rPr>
          <w:rFonts w:ascii="Arial" w:hAnsi="Arial" w:cs="Arial"/>
        </w:rPr>
        <w:t>: incorporar expresamente en la memoria justificativa del acto administrativo el tratamiento dado a las recomendaciones formuladas por la SIC y remitir la versión definitiva del proyecto y de la memoria justificativa a la Superintendencia.</w:t>
      </w:r>
    </w:p>
    <w:p w:rsidRPr="008915C3" w:rsidR="00F55E6D" w:rsidP="1D33EB28" w:rsidRDefault="00F55E6D" w14:paraId="2123FA9C" w14:textId="2EC376EC">
      <w:pPr>
        <w:pStyle w:val="ListParagraph"/>
        <w:ind w:left="708"/>
        <w:jc w:val="both"/>
        <w:rPr>
          <w:rFonts w:ascii="Arial" w:hAnsi="Arial" w:cs="Arial"/>
        </w:rPr>
      </w:pPr>
    </w:p>
    <w:p w:rsidRPr="00952780" w:rsidR="00CD4CE5" w:rsidP="008A1423" w:rsidRDefault="005E7ADB" w14:paraId="4C647AA7" w14:textId="2B8BD3DE">
      <w:pPr>
        <w:jc w:val="both"/>
        <w:rPr>
          <w:rFonts w:ascii="Arial" w:hAnsi="Arial" w:cs="Arial"/>
        </w:rPr>
      </w:pPr>
      <w:r w:rsidRPr="00952780">
        <w:rPr>
          <w:rFonts w:ascii="Arial" w:hAnsi="Arial" w:cs="Arial"/>
        </w:rPr>
        <w:t>En</w:t>
      </w:r>
      <w:r w:rsidRPr="00952780" w:rsidR="000916DC">
        <w:rPr>
          <w:rFonts w:ascii="Arial" w:hAnsi="Arial" w:cs="Arial"/>
        </w:rPr>
        <w:t xml:space="preserve"> general</w:t>
      </w:r>
      <w:r w:rsidRPr="00952780" w:rsidR="00CD4CE5">
        <w:rPr>
          <w:rFonts w:ascii="Arial" w:hAnsi="Arial" w:cs="Arial"/>
        </w:rPr>
        <w:t xml:space="preserve">, </w:t>
      </w:r>
      <w:r w:rsidR="00C7649B">
        <w:rPr>
          <w:rFonts w:ascii="Arial" w:hAnsi="Arial" w:cs="Arial"/>
        </w:rPr>
        <w:t>s</w:t>
      </w:r>
      <w:r w:rsidRPr="00952780" w:rsidR="00CD4CE5">
        <w:rPr>
          <w:rFonts w:ascii="Arial" w:hAnsi="Arial" w:cs="Arial"/>
        </w:rPr>
        <w:t xml:space="preserve">e comparte las propuestas modificatorias realizadas al documento de trabajo </w:t>
      </w:r>
      <w:r w:rsidR="00C90831">
        <w:rPr>
          <w:rFonts w:ascii="Arial" w:hAnsi="Arial" w:cs="Arial"/>
        </w:rPr>
        <w:t xml:space="preserve">se </w:t>
      </w:r>
      <w:r w:rsidR="00DA1593">
        <w:rPr>
          <w:rFonts w:ascii="Arial" w:hAnsi="Arial" w:cs="Arial"/>
        </w:rPr>
        <w:t xml:space="preserve">envían </w:t>
      </w:r>
      <w:r w:rsidR="00254F44">
        <w:rPr>
          <w:rFonts w:ascii="Arial" w:hAnsi="Arial" w:cs="Arial"/>
        </w:rPr>
        <w:t>ajustes de for</w:t>
      </w:r>
      <w:r w:rsidR="00A652F5">
        <w:rPr>
          <w:rFonts w:ascii="Arial" w:hAnsi="Arial" w:cs="Arial"/>
        </w:rPr>
        <w:t xml:space="preserve">mas </w:t>
      </w:r>
      <w:r w:rsidR="00567629">
        <w:rPr>
          <w:rFonts w:ascii="Arial" w:hAnsi="Arial" w:cs="Arial"/>
        </w:rPr>
        <w:t>que se</w:t>
      </w:r>
      <w:r w:rsidR="00455618">
        <w:rPr>
          <w:rFonts w:ascii="Arial" w:hAnsi="Arial" w:cs="Arial"/>
        </w:rPr>
        <w:t xml:space="preserve"> </w:t>
      </w:r>
      <w:r w:rsidR="00567629">
        <w:rPr>
          <w:rFonts w:ascii="Arial" w:hAnsi="Arial" w:cs="Arial"/>
        </w:rPr>
        <w:t>tienen s</w:t>
      </w:r>
      <w:r w:rsidR="00760ACF">
        <w:rPr>
          <w:rFonts w:ascii="Arial" w:hAnsi="Arial" w:cs="Arial"/>
        </w:rPr>
        <w:t xml:space="preserve">obre </w:t>
      </w:r>
      <w:r w:rsidR="00F8066D">
        <w:rPr>
          <w:rFonts w:ascii="Arial" w:hAnsi="Arial" w:cs="Arial"/>
        </w:rPr>
        <w:t>y se pr</w:t>
      </w:r>
      <w:r w:rsidR="0008393B">
        <w:rPr>
          <w:rFonts w:ascii="Arial" w:hAnsi="Arial" w:cs="Arial"/>
        </w:rPr>
        <w:t>esentan e</w:t>
      </w:r>
      <w:r w:rsidR="00DC60DF">
        <w:rPr>
          <w:rFonts w:ascii="Arial" w:hAnsi="Arial" w:cs="Arial"/>
        </w:rPr>
        <w:t>n el docu</w:t>
      </w:r>
      <w:r w:rsidR="00BD63AD">
        <w:rPr>
          <w:rFonts w:ascii="Arial" w:hAnsi="Arial" w:cs="Arial"/>
        </w:rPr>
        <w:t>me</w:t>
      </w:r>
      <w:r w:rsidR="00E360B7">
        <w:rPr>
          <w:rFonts w:ascii="Arial" w:hAnsi="Arial" w:cs="Arial"/>
        </w:rPr>
        <w:t xml:space="preserve">nto de </w:t>
      </w:r>
      <w:r w:rsidRPr="008A1423" w:rsidR="008A1423">
        <w:rPr>
          <w:rFonts w:ascii="Arial" w:hAnsi="Arial" w:cs="Arial"/>
        </w:rPr>
        <w:t>Análisis y ajustes respecto a las recomendaciones del concepto de abogacía de la</w:t>
      </w:r>
      <w:r w:rsidR="00620A4F">
        <w:rPr>
          <w:rFonts w:ascii="Arial" w:hAnsi="Arial" w:cs="Arial"/>
        </w:rPr>
        <w:t xml:space="preserve"> </w:t>
      </w:r>
      <w:r w:rsidRPr="008A1423" w:rsidR="008A1423">
        <w:rPr>
          <w:rFonts w:ascii="Arial" w:hAnsi="Arial" w:cs="Arial"/>
        </w:rPr>
        <w:t>competencia de la SIC sobre el Proyecto de Resolución:</w:t>
      </w:r>
      <w:r w:rsidR="00E907FD">
        <w:rPr>
          <w:rFonts w:ascii="Arial" w:hAnsi="Arial" w:cs="Arial"/>
        </w:rPr>
        <w:t xml:space="preserve"> </w:t>
      </w:r>
      <w:r w:rsidRPr="008A1423" w:rsidR="008A1423">
        <w:rPr>
          <w:rFonts w:ascii="Arial" w:hAnsi="Arial" w:cs="Arial"/>
        </w:rPr>
        <w:t>“Por la cual se subroga el Título 2, Parte 3, Libro 5 de la Resolución CRA 943 de</w:t>
      </w:r>
      <w:r w:rsidR="00E907FD">
        <w:rPr>
          <w:rFonts w:ascii="Arial" w:hAnsi="Arial" w:cs="Arial"/>
        </w:rPr>
        <w:t xml:space="preserve"> </w:t>
      </w:r>
      <w:r w:rsidRPr="008A1423" w:rsidR="008A1423">
        <w:rPr>
          <w:rFonts w:ascii="Arial" w:hAnsi="Arial" w:cs="Arial"/>
        </w:rPr>
        <w:t>2021, relacionado con la metodología tarifaria a la que deben someterse las personas</w:t>
      </w:r>
      <w:r w:rsidR="002B1841">
        <w:rPr>
          <w:rFonts w:ascii="Arial" w:hAnsi="Arial" w:cs="Arial"/>
        </w:rPr>
        <w:t xml:space="preserve"> </w:t>
      </w:r>
      <w:r w:rsidRPr="008A1423" w:rsidR="008A1423">
        <w:rPr>
          <w:rFonts w:ascii="Arial" w:hAnsi="Arial" w:cs="Arial"/>
        </w:rPr>
        <w:t>prestadoras del servicio público de aseo que atiendan municipios y/o distritos</w:t>
      </w:r>
      <w:r w:rsidR="00263762">
        <w:rPr>
          <w:rFonts w:ascii="Arial" w:hAnsi="Arial" w:cs="Arial"/>
        </w:rPr>
        <w:t xml:space="preserve"> </w:t>
      </w:r>
      <w:r w:rsidRPr="008A1423" w:rsidR="008A1423">
        <w:rPr>
          <w:rFonts w:ascii="Arial" w:hAnsi="Arial" w:cs="Arial"/>
        </w:rPr>
        <w:t>de más de 5.000 suscriptores en áreas urbanas, y se dictan otras disposiciones”</w:t>
      </w:r>
      <w:r w:rsidR="00750FE0">
        <w:rPr>
          <w:rFonts w:ascii="Arial" w:hAnsi="Arial" w:cs="Arial"/>
        </w:rPr>
        <w:t>, co</w:t>
      </w:r>
      <w:r w:rsidR="00170A6C">
        <w:rPr>
          <w:rFonts w:ascii="Arial" w:hAnsi="Arial" w:cs="Arial"/>
        </w:rPr>
        <w:t xml:space="preserve">n estas </w:t>
      </w:r>
      <w:r w:rsidR="005A3FB7">
        <w:rPr>
          <w:rFonts w:ascii="Arial" w:hAnsi="Arial" w:cs="Arial"/>
        </w:rPr>
        <w:t>precisiones</w:t>
      </w:r>
      <w:r w:rsidR="00A128A0">
        <w:rPr>
          <w:rFonts w:ascii="Arial" w:hAnsi="Arial" w:cs="Arial"/>
        </w:rPr>
        <w:t xml:space="preserve"> mi </w:t>
      </w:r>
      <w:r w:rsidR="00710EED">
        <w:rPr>
          <w:rFonts w:ascii="Arial" w:hAnsi="Arial" w:cs="Arial"/>
        </w:rPr>
        <w:t>vot</w:t>
      </w:r>
      <w:r w:rsidR="0099454B">
        <w:rPr>
          <w:rFonts w:ascii="Arial" w:hAnsi="Arial" w:cs="Arial"/>
        </w:rPr>
        <w:t>o es A</w:t>
      </w:r>
      <w:r w:rsidR="00881FC8">
        <w:rPr>
          <w:rFonts w:ascii="Arial" w:hAnsi="Arial" w:cs="Arial"/>
        </w:rPr>
        <w:t>probato</w:t>
      </w:r>
      <w:r w:rsidR="00F8050D">
        <w:rPr>
          <w:rFonts w:ascii="Arial" w:hAnsi="Arial" w:cs="Arial"/>
        </w:rPr>
        <w:t>rio a las</w:t>
      </w:r>
      <w:r w:rsidR="00755BFB">
        <w:rPr>
          <w:rFonts w:ascii="Arial" w:hAnsi="Arial" w:cs="Arial"/>
        </w:rPr>
        <w:t xml:space="preserve"> inc</w:t>
      </w:r>
      <w:r w:rsidR="00D87669">
        <w:rPr>
          <w:rFonts w:ascii="Arial" w:hAnsi="Arial" w:cs="Arial"/>
        </w:rPr>
        <w:t>orpora</w:t>
      </w:r>
      <w:r w:rsidR="004940D9">
        <w:rPr>
          <w:rFonts w:ascii="Arial" w:hAnsi="Arial" w:cs="Arial"/>
        </w:rPr>
        <w:t xml:space="preserve">ciones </w:t>
      </w:r>
      <w:r w:rsidR="00E80BED">
        <w:rPr>
          <w:rFonts w:ascii="Arial" w:hAnsi="Arial" w:cs="Arial"/>
        </w:rPr>
        <w:t xml:space="preserve">realizadas </w:t>
      </w:r>
      <w:r w:rsidR="002E4473">
        <w:rPr>
          <w:rFonts w:ascii="Arial" w:hAnsi="Arial" w:cs="Arial"/>
        </w:rPr>
        <w:t xml:space="preserve">por </w:t>
      </w:r>
      <w:r w:rsidR="00D2303D">
        <w:rPr>
          <w:rFonts w:ascii="Arial" w:hAnsi="Arial" w:cs="Arial"/>
        </w:rPr>
        <w:t>el equ</w:t>
      </w:r>
      <w:r w:rsidR="00A72AC8">
        <w:rPr>
          <w:rFonts w:ascii="Arial" w:hAnsi="Arial" w:cs="Arial"/>
        </w:rPr>
        <w:t xml:space="preserve">ipo de </w:t>
      </w:r>
      <w:r w:rsidR="0018200A">
        <w:rPr>
          <w:rFonts w:ascii="Arial" w:hAnsi="Arial" w:cs="Arial"/>
        </w:rPr>
        <w:t>trabajo</w:t>
      </w:r>
    </w:p>
    <w:p w:rsidR="00F55E6D" w:rsidP="00F55E6D" w:rsidRDefault="00F55E6D" w14:paraId="6CCED349" w14:textId="77777777">
      <w:pPr>
        <w:jc w:val="both"/>
        <w:rPr>
          <w:rFonts w:ascii="Arial" w:hAnsi="Arial" w:cs="Arial"/>
        </w:rPr>
      </w:pPr>
      <w:r>
        <w:rPr>
          <w:rFonts w:ascii="Arial" w:hAnsi="Arial" w:cs="Arial"/>
        </w:rPr>
        <w:t xml:space="preserve">De otra aparte quiero resaltar </w:t>
      </w:r>
      <w:r w:rsidRPr="003674C5">
        <w:rPr>
          <w:rFonts w:ascii="Arial" w:hAnsi="Arial" w:cs="Arial"/>
        </w:rPr>
        <w:t>diversos aspectos positivos del proyecto regulatorio</w:t>
      </w:r>
      <w:r>
        <w:rPr>
          <w:rFonts w:ascii="Arial" w:hAnsi="Arial" w:cs="Arial"/>
        </w:rPr>
        <w:t xml:space="preserve"> que la SIC destaca en el </w:t>
      </w:r>
      <w:r w:rsidRPr="003674C5">
        <w:rPr>
          <w:rFonts w:ascii="Arial" w:hAnsi="Arial" w:cs="Arial"/>
        </w:rPr>
        <w:t>concepto de Abogacía de la Competencia</w:t>
      </w:r>
      <w:r>
        <w:rPr>
          <w:rFonts w:ascii="Arial" w:hAnsi="Arial" w:cs="Arial"/>
        </w:rPr>
        <w:t>, como son:</w:t>
      </w:r>
    </w:p>
    <w:p w:rsidRPr="003674C5" w:rsidR="00F55E6D" w:rsidP="00F55E6D" w:rsidRDefault="00F55E6D" w14:paraId="558C843D" w14:textId="77777777">
      <w:pPr>
        <w:pStyle w:val="ListParagraph"/>
        <w:numPr>
          <w:ilvl w:val="0"/>
          <w:numId w:val="19"/>
        </w:numPr>
        <w:jc w:val="both"/>
        <w:rPr>
          <w:rFonts w:ascii="Arial" w:hAnsi="Arial" w:cs="Arial"/>
        </w:rPr>
      </w:pPr>
      <w:r w:rsidRPr="003674C5">
        <w:rPr>
          <w:rFonts w:ascii="Arial" w:hAnsi="Arial" w:cs="Arial"/>
        </w:rPr>
        <w:t>la realización de una revisión integral de la metodología tarifaria vigente;</w:t>
      </w:r>
    </w:p>
    <w:p w:rsidRPr="003674C5" w:rsidR="00F55E6D" w:rsidP="00F55E6D" w:rsidRDefault="00F55E6D" w14:paraId="0ABA0795" w14:textId="77777777">
      <w:pPr>
        <w:pStyle w:val="ListParagraph"/>
        <w:numPr>
          <w:ilvl w:val="0"/>
          <w:numId w:val="19"/>
        </w:numPr>
        <w:jc w:val="both"/>
        <w:rPr>
          <w:rFonts w:ascii="Arial" w:hAnsi="Arial" w:cs="Arial"/>
        </w:rPr>
      </w:pPr>
      <w:r w:rsidRPr="003674C5">
        <w:rPr>
          <w:rFonts w:ascii="Arial" w:hAnsi="Arial" w:cs="Arial"/>
        </w:rPr>
        <w:t>el amplio soporte técnico utilizado para la construcción de la propuesta regulatoria;</w:t>
      </w:r>
    </w:p>
    <w:p w:rsidRPr="003674C5" w:rsidR="00F55E6D" w:rsidP="00F55E6D" w:rsidRDefault="00F55E6D" w14:paraId="1DC1966E" w14:textId="77777777">
      <w:pPr>
        <w:pStyle w:val="ListParagraph"/>
        <w:numPr>
          <w:ilvl w:val="0"/>
          <w:numId w:val="19"/>
        </w:numPr>
        <w:jc w:val="both"/>
        <w:rPr>
          <w:rFonts w:ascii="Arial" w:hAnsi="Arial" w:cs="Arial"/>
        </w:rPr>
      </w:pPr>
      <w:r w:rsidRPr="003674C5">
        <w:rPr>
          <w:rFonts w:ascii="Arial" w:hAnsi="Arial" w:cs="Arial"/>
        </w:rPr>
        <w:t>el análisis de las transformaciones económicas, ambientales, operativas e institucionales que ha experimentado el sector;</w:t>
      </w:r>
    </w:p>
    <w:p w:rsidRPr="003674C5" w:rsidR="00F55E6D" w:rsidP="00F55E6D" w:rsidRDefault="00F55E6D" w14:paraId="26B4AF63" w14:textId="77777777">
      <w:pPr>
        <w:pStyle w:val="ListParagraph"/>
        <w:numPr>
          <w:ilvl w:val="0"/>
          <w:numId w:val="19"/>
        </w:numPr>
        <w:jc w:val="both"/>
        <w:rPr>
          <w:rFonts w:ascii="Arial" w:hAnsi="Arial" w:cs="Arial"/>
        </w:rPr>
      </w:pPr>
      <w:r w:rsidRPr="003674C5">
        <w:rPr>
          <w:rFonts w:ascii="Arial" w:hAnsi="Arial" w:cs="Arial"/>
        </w:rPr>
        <w:t>la incorporación de objetivos de política pública relacionados con economía circular, sostenibilidad ambiental, calidad del servicio e inclusión de los recicladores de oficio;</w:t>
      </w:r>
    </w:p>
    <w:p w:rsidRPr="003674C5" w:rsidR="00F55E6D" w:rsidP="00F55E6D" w:rsidRDefault="00F55E6D" w14:paraId="7CB92FFE" w14:textId="77777777">
      <w:pPr>
        <w:pStyle w:val="ListParagraph"/>
        <w:numPr>
          <w:ilvl w:val="0"/>
          <w:numId w:val="19"/>
        </w:numPr>
        <w:jc w:val="both"/>
        <w:rPr>
          <w:rFonts w:ascii="Arial" w:hAnsi="Arial" w:cs="Arial"/>
        </w:rPr>
      </w:pPr>
      <w:r w:rsidRPr="003674C5">
        <w:rPr>
          <w:rFonts w:ascii="Arial" w:hAnsi="Arial" w:cs="Arial"/>
        </w:rPr>
        <w:t>el amplio proceso de participación ciudadana desarrollado mediante consultas públicas, mesas técnicas y análisis de observaciones de los diferentes agentes;</w:t>
      </w:r>
    </w:p>
    <w:p w:rsidRPr="003674C5" w:rsidR="00F55E6D" w:rsidP="00F55E6D" w:rsidRDefault="00F55E6D" w14:paraId="67732AF7" w14:textId="77777777">
      <w:pPr>
        <w:pStyle w:val="ListParagraph"/>
        <w:numPr>
          <w:ilvl w:val="0"/>
          <w:numId w:val="19"/>
        </w:numPr>
        <w:jc w:val="both"/>
        <w:rPr>
          <w:rFonts w:ascii="Arial" w:hAnsi="Arial" w:cs="Arial"/>
        </w:rPr>
      </w:pPr>
      <w:r w:rsidRPr="003674C5">
        <w:rPr>
          <w:rFonts w:ascii="Arial" w:hAnsi="Arial" w:cs="Arial"/>
        </w:rPr>
        <w:t>el fortalecimiento de los mecanismos regulatorios de calidad, eficiencia y transparencia;</w:t>
      </w:r>
    </w:p>
    <w:p w:rsidRPr="003674C5" w:rsidR="00F55E6D" w:rsidP="00F55E6D" w:rsidRDefault="00F55E6D" w14:paraId="48444422" w14:textId="77777777">
      <w:pPr>
        <w:pStyle w:val="ListParagraph"/>
        <w:numPr>
          <w:ilvl w:val="0"/>
          <w:numId w:val="19"/>
        </w:numPr>
        <w:jc w:val="both"/>
        <w:rPr>
          <w:rFonts w:ascii="Arial" w:hAnsi="Arial" w:cs="Arial"/>
        </w:rPr>
      </w:pPr>
      <w:r w:rsidRPr="003674C5">
        <w:rPr>
          <w:rFonts w:ascii="Arial" w:hAnsi="Arial" w:cs="Arial"/>
        </w:rPr>
        <w:t>la incorporación de herramientas que buscan vincular la remuneración al desempeño efectivo del servicio.</w:t>
      </w:r>
    </w:p>
    <w:p w:rsidRPr="008915C3" w:rsidR="00E92577" w:rsidP="00E92577" w:rsidRDefault="00E92577" w14:paraId="4D88B2B5" w14:textId="45C23581">
      <w:pPr>
        <w:jc w:val="both"/>
        <w:rPr>
          <w:rFonts w:ascii="Arial" w:hAnsi="Arial" w:cs="Arial"/>
        </w:rPr>
      </w:pPr>
    </w:p>
    <w:p w:rsidRPr="008915C3" w:rsidR="00E92577" w:rsidP="00E92577" w:rsidRDefault="00E92577" w14:paraId="0B07AC80" w14:textId="77777777">
      <w:pPr>
        <w:rPr>
          <w:rFonts w:ascii="Arial" w:hAnsi="Arial" w:cs="Arial"/>
          <w:b/>
          <w:bCs/>
        </w:rPr>
      </w:pPr>
    </w:p>
    <w:sectPr w:rsidRPr="008915C3" w:rsidR="00E92577">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32943"/>
    <w:multiLevelType w:val="multilevel"/>
    <w:tmpl w:val="0A9C7D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50628E7"/>
    <w:multiLevelType w:val="hybridMultilevel"/>
    <w:tmpl w:val="BAF0308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F4F4DB8"/>
    <w:multiLevelType w:val="multilevel"/>
    <w:tmpl w:val="9378F7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085499F"/>
    <w:multiLevelType w:val="multilevel"/>
    <w:tmpl w:val="43801B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25585A92"/>
    <w:multiLevelType w:val="multilevel"/>
    <w:tmpl w:val="2A3C891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2B6848"/>
    <w:multiLevelType w:val="multilevel"/>
    <w:tmpl w:val="B99E99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F55141F"/>
    <w:multiLevelType w:val="multilevel"/>
    <w:tmpl w:val="8D124F70"/>
    <w:lvl w:ilvl="0">
      <w:start w:val="1"/>
      <w:numFmt w:val="decimal"/>
      <w:lvlText w:val="%1."/>
      <w:lvlJc w:val="left"/>
      <w:pPr>
        <w:ind w:left="360" w:hanging="360"/>
      </w:pPr>
      <w:rPr>
        <w:b/>
        <w:bCs/>
      </w:rPr>
    </w:lvl>
    <w:lvl w:ilvl="1">
      <w:start w:val="1"/>
      <w:numFmt w:val="decimal"/>
      <w:lvlText w:val="%1.%2."/>
      <w:lvlJc w:val="left"/>
      <w:pPr>
        <w:ind w:left="716" w:hanging="432"/>
      </w:pPr>
      <w:rPr>
        <w:b/>
        <w:bCs/>
        <w:i w:val="0"/>
        <w:iCs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884ECA"/>
    <w:multiLevelType w:val="multilevel"/>
    <w:tmpl w:val="B97C4B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4DF0FC0"/>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432F34E3"/>
    <w:multiLevelType w:val="hybridMultilevel"/>
    <w:tmpl w:val="126C0B46"/>
    <w:lvl w:ilvl="0" w:tplc="240A0011">
      <w:start w:val="1"/>
      <w:numFmt w:val="decimal"/>
      <w:lvlText w:val="%1)"/>
      <w:lvlJc w:val="left"/>
      <w:pPr>
        <w:ind w:left="708" w:hanging="708"/>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7182C1B"/>
    <w:multiLevelType w:val="multilevel"/>
    <w:tmpl w:val="925665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47BA6F05"/>
    <w:multiLevelType w:val="multilevel"/>
    <w:tmpl w:val="FFFFFFFF"/>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7E84AFC"/>
    <w:multiLevelType w:val="multilevel"/>
    <w:tmpl w:val="EF74F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3C4916"/>
    <w:multiLevelType w:val="multilevel"/>
    <w:tmpl w:val="394A4E10"/>
    <w:lvl w:ilvl="0">
      <w:numFmt w:val="bullet"/>
      <w:lvlText w:val="✓"/>
      <w:lvlJc w:val="left"/>
      <w:pPr>
        <w:tabs>
          <w:tab w:val="num" w:pos="720"/>
        </w:tabs>
        <w:ind w:left="720" w:hanging="360"/>
      </w:pPr>
      <w:rPr>
        <w:rFonts w:hint="default" w:ascii="Aptos" w:hAnsi="Aptos" w:eastAsiaTheme="minorHAnsi" w:cstheme="minorBidi"/>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49B205D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2477E2"/>
    <w:multiLevelType w:val="multilevel"/>
    <w:tmpl w:val="D85CD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415032"/>
    <w:multiLevelType w:val="hybridMultilevel"/>
    <w:tmpl w:val="975ABD40"/>
    <w:lvl w:ilvl="0" w:tplc="099E59B8">
      <w:numFmt w:val="bullet"/>
      <w:lvlText w:val="✓"/>
      <w:lvlJc w:val="left"/>
      <w:pPr>
        <w:ind w:left="720" w:hanging="360"/>
      </w:pPr>
      <w:rPr>
        <w:rFonts w:hint="default" w:ascii="Aptos" w:hAnsi="Aptos" w:eastAsiaTheme="minorHAnsi" w:cstheme="minorBid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55630AA0"/>
    <w:multiLevelType w:val="hybridMultilevel"/>
    <w:tmpl w:val="3C10BDC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66B90433"/>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BD3C2D"/>
    <w:multiLevelType w:val="multilevel"/>
    <w:tmpl w:val="0A9C7D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072965902">
    <w:abstractNumId w:val="7"/>
  </w:num>
  <w:num w:numId="2" w16cid:durableId="123626363">
    <w:abstractNumId w:val="9"/>
  </w:num>
  <w:num w:numId="3" w16cid:durableId="1306931439">
    <w:abstractNumId w:val="17"/>
  </w:num>
  <w:num w:numId="4" w16cid:durableId="1329094499">
    <w:abstractNumId w:val="5"/>
  </w:num>
  <w:num w:numId="5" w16cid:durableId="134833583">
    <w:abstractNumId w:val="18"/>
  </w:num>
  <w:num w:numId="6" w16cid:durableId="1516462011">
    <w:abstractNumId w:val="8"/>
  </w:num>
  <w:num w:numId="7" w16cid:durableId="1809393831">
    <w:abstractNumId w:val="2"/>
  </w:num>
  <w:num w:numId="8" w16cid:durableId="1900434359">
    <w:abstractNumId w:val="10"/>
  </w:num>
  <w:num w:numId="9" w16cid:durableId="1940914904">
    <w:abstractNumId w:val="1"/>
  </w:num>
  <w:num w:numId="10" w16cid:durableId="2030569161">
    <w:abstractNumId w:val="19"/>
  </w:num>
  <w:num w:numId="11" w16cid:durableId="387001183">
    <w:abstractNumId w:val="3"/>
  </w:num>
  <w:num w:numId="12" w16cid:durableId="409278573">
    <w:abstractNumId w:val="0"/>
  </w:num>
  <w:num w:numId="13" w16cid:durableId="5154582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3830540">
    <w:abstractNumId w:val="15"/>
  </w:num>
  <w:num w:numId="15" w16cid:durableId="576288720">
    <w:abstractNumId w:val="11"/>
  </w:num>
  <w:num w:numId="16" w16cid:durableId="666787168">
    <w:abstractNumId w:val="4"/>
  </w:num>
  <w:num w:numId="17" w16cid:durableId="733890853">
    <w:abstractNumId w:val="13"/>
  </w:num>
  <w:num w:numId="18" w16cid:durableId="7580185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0297238">
    <w:abstractNumId w:val="16"/>
  </w:num>
  <w:num w:numId="20" w16cid:durableId="8865253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456"/>
    <w:rsid w:val="0008393B"/>
    <w:rsid w:val="00084781"/>
    <w:rsid w:val="000909DB"/>
    <w:rsid w:val="000916DC"/>
    <w:rsid w:val="000E08F3"/>
    <w:rsid w:val="00102945"/>
    <w:rsid w:val="00170A6C"/>
    <w:rsid w:val="0018200A"/>
    <w:rsid w:val="00193870"/>
    <w:rsid w:val="00195C58"/>
    <w:rsid w:val="001A6970"/>
    <w:rsid w:val="001A799B"/>
    <w:rsid w:val="001B72F8"/>
    <w:rsid w:val="00254F44"/>
    <w:rsid w:val="00263762"/>
    <w:rsid w:val="002B1841"/>
    <w:rsid w:val="002B5195"/>
    <w:rsid w:val="002C5427"/>
    <w:rsid w:val="002D11F8"/>
    <w:rsid w:val="002E4473"/>
    <w:rsid w:val="002F1BC8"/>
    <w:rsid w:val="0034267A"/>
    <w:rsid w:val="00357628"/>
    <w:rsid w:val="003A3168"/>
    <w:rsid w:val="003B6B97"/>
    <w:rsid w:val="003C75BF"/>
    <w:rsid w:val="0041208F"/>
    <w:rsid w:val="004228F0"/>
    <w:rsid w:val="00455618"/>
    <w:rsid w:val="00480567"/>
    <w:rsid w:val="00485ACF"/>
    <w:rsid w:val="004940D9"/>
    <w:rsid w:val="004B1E16"/>
    <w:rsid w:val="004B1FF9"/>
    <w:rsid w:val="004C36D3"/>
    <w:rsid w:val="004C4E68"/>
    <w:rsid w:val="004C62C0"/>
    <w:rsid w:val="004E3433"/>
    <w:rsid w:val="004F13AE"/>
    <w:rsid w:val="00550DBF"/>
    <w:rsid w:val="00567629"/>
    <w:rsid w:val="00584A4C"/>
    <w:rsid w:val="00591203"/>
    <w:rsid w:val="005A3FB7"/>
    <w:rsid w:val="005E5D88"/>
    <w:rsid w:val="005E7ADB"/>
    <w:rsid w:val="005F17A0"/>
    <w:rsid w:val="00620A4F"/>
    <w:rsid w:val="006278AD"/>
    <w:rsid w:val="00671712"/>
    <w:rsid w:val="00696D55"/>
    <w:rsid w:val="006B0FE3"/>
    <w:rsid w:val="006F7E60"/>
    <w:rsid w:val="00710EED"/>
    <w:rsid w:val="007442AB"/>
    <w:rsid w:val="00747C81"/>
    <w:rsid w:val="00750FE0"/>
    <w:rsid w:val="007554B7"/>
    <w:rsid w:val="00755666"/>
    <w:rsid w:val="00755BA2"/>
    <w:rsid w:val="00755BFB"/>
    <w:rsid w:val="00760ACF"/>
    <w:rsid w:val="007A0F94"/>
    <w:rsid w:val="007E03FC"/>
    <w:rsid w:val="007F4866"/>
    <w:rsid w:val="007F507D"/>
    <w:rsid w:val="008069F6"/>
    <w:rsid w:val="0082602A"/>
    <w:rsid w:val="00831E05"/>
    <w:rsid w:val="00837E14"/>
    <w:rsid w:val="008449BF"/>
    <w:rsid w:val="00850897"/>
    <w:rsid w:val="00865467"/>
    <w:rsid w:val="00866010"/>
    <w:rsid w:val="00881FC8"/>
    <w:rsid w:val="00882C56"/>
    <w:rsid w:val="0088630E"/>
    <w:rsid w:val="008915C3"/>
    <w:rsid w:val="008A1423"/>
    <w:rsid w:val="008B1BF4"/>
    <w:rsid w:val="00937073"/>
    <w:rsid w:val="00950886"/>
    <w:rsid w:val="00952780"/>
    <w:rsid w:val="00973C99"/>
    <w:rsid w:val="0099454B"/>
    <w:rsid w:val="00996B6C"/>
    <w:rsid w:val="009A00FD"/>
    <w:rsid w:val="009A088C"/>
    <w:rsid w:val="009A2F08"/>
    <w:rsid w:val="009C38E3"/>
    <w:rsid w:val="009D0FC9"/>
    <w:rsid w:val="009F72EF"/>
    <w:rsid w:val="00A128A0"/>
    <w:rsid w:val="00A21714"/>
    <w:rsid w:val="00A4009D"/>
    <w:rsid w:val="00A65214"/>
    <w:rsid w:val="00A652F5"/>
    <w:rsid w:val="00A72AC8"/>
    <w:rsid w:val="00A8300E"/>
    <w:rsid w:val="00AA683C"/>
    <w:rsid w:val="00AC28F4"/>
    <w:rsid w:val="00AD2BD6"/>
    <w:rsid w:val="00AE08FA"/>
    <w:rsid w:val="00AFB896"/>
    <w:rsid w:val="00B044A3"/>
    <w:rsid w:val="00B65456"/>
    <w:rsid w:val="00B66163"/>
    <w:rsid w:val="00B67106"/>
    <w:rsid w:val="00B7343C"/>
    <w:rsid w:val="00B76BCB"/>
    <w:rsid w:val="00B775CB"/>
    <w:rsid w:val="00B90453"/>
    <w:rsid w:val="00BD63AD"/>
    <w:rsid w:val="00C02AD1"/>
    <w:rsid w:val="00C7647A"/>
    <w:rsid w:val="00C7649B"/>
    <w:rsid w:val="00C87F27"/>
    <w:rsid w:val="00C90831"/>
    <w:rsid w:val="00CA7E6A"/>
    <w:rsid w:val="00CB5652"/>
    <w:rsid w:val="00CD4CE5"/>
    <w:rsid w:val="00CF0108"/>
    <w:rsid w:val="00CF6B21"/>
    <w:rsid w:val="00D12209"/>
    <w:rsid w:val="00D156E9"/>
    <w:rsid w:val="00D2303D"/>
    <w:rsid w:val="00D74443"/>
    <w:rsid w:val="00D87669"/>
    <w:rsid w:val="00D94630"/>
    <w:rsid w:val="00DA1593"/>
    <w:rsid w:val="00DA3CEA"/>
    <w:rsid w:val="00DC60DF"/>
    <w:rsid w:val="00DE0B5E"/>
    <w:rsid w:val="00E005A2"/>
    <w:rsid w:val="00E10BAC"/>
    <w:rsid w:val="00E1708B"/>
    <w:rsid w:val="00E360B7"/>
    <w:rsid w:val="00E80BED"/>
    <w:rsid w:val="00E907FD"/>
    <w:rsid w:val="00E92577"/>
    <w:rsid w:val="00E95E91"/>
    <w:rsid w:val="00EB7ACE"/>
    <w:rsid w:val="00EC1B7B"/>
    <w:rsid w:val="00F43CAA"/>
    <w:rsid w:val="00F47CDB"/>
    <w:rsid w:val="00F55E6D"/>
    <w:rsid w:val="00F72FB1"/>
    <w:rsid w:val="00F8050D"/>
    <w:rsid w:val="00F8066D"/>
    <w:rsid w:val="00FA063B"/>
    <w:rsid w:val="00FA1CB1"/>
    <w:rsid w:val="00FB6C89"/>
    <w:rsid w:val="0DE071E6"/>
    <w:rsid w:val="1D33EB28"/>
    <w:rsid w:val="1E7C6998"/>
    <w:rsid w:val="263291F7"/>
    <w:rsid w:val="26E49F8C"/>
    <w:rsid w:val="2E1D2D32"/>
    <w:rsid w:val="31AED38E"/>
    <w:rsid w:val="42D7FCAA"/>
    <w:rsid w:val="4503DA16"/>
    <w:rsid w:val="45A04CF8"/>
    <w:rsid w:val="4C89F76D"/>
    <w:rsid w:val="4E77EEBB"/>
    <w:rsid w:val="4EA31032"/>
    <w:rsid w:val="4EBC14C5"/>
    <w:rsid w:val="5B2AC398"/>
    <w:rsid w:val="5EB99270"/>
    <w:rsid w:val="5FDC1328"/>
    <w:rsid w:val="609BC151"/>
    <w:rsid w:val="61A67832"/>
    <w:rsid w:val="66A58F0A"/>
    <w:rsid w:val="6FCCB1D9"/>
    <w:rsid w:val="73574E3A"/>
    <w:rsid w:val="7702230F"/>
    <w:rsid w:val="78C06252"/>
    <w:rsid w:val="7C0A68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584DB9D"/>
  <w15:chartTrackingRefBased/>
  <w15:docId w15:val="{11506318-5B8D-4E59-B72F-B094E6BCD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B6545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6545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6545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545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545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54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54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54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5456"/>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65456"/>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B65456"/>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B65456"/>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B65456"/>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65456"/>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6545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6545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6545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65456"/>
    <w:rPr>
      <w:rFonts w:eastAsiaTheme="majorEastAsia" w:cstheme="majorBidi"/>
      <w:color w:val="272727" w:themeColor="text1" w:themeTint="D8"/>
    </w:rPr>
  </w:style>
  <w:style w:type="paragraph" w:styleId="Title">
    <w:name w:val="Title"/>
    <w:basedOn w:val="Normal"/>
    <w:next w:val="Normal"/>
    <w:link w:val="TitleChar"/>
    <w:uiPriority w:val="10"/>
    <w:qFormat/>
    <w:rsid w:val="00F55E6D"/>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6545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65456"/>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654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5E6D"/>
    <w:pPr>
      <w:spacing w:before="200"/>
      <w:ind w:left="864" w:right="864"/>
      <w:jc w:val="center"/>
    </w:pPr>
    <w:rPr>
      <w:i/>
      <w:iCs/>
      <w:color w:val="404040" w:themeColor="text1" w:themeTint="BF"/>
    </w:rPr>
  </w:style>
  <w:style w:type="character" w:styleId="QuoteChar" w:customStyle="1">
    <w:name w:val="Quote Char"/>
    <w:basedOn w:val="DefaultParagraphFont"/>
    <w:link w:val="Quote"/>
    <w:uiPriority w:val="29"/>
    <w:rsid w:val="00B65456"/>
    <w:rPr>
      <w:i/>
      <w:iCs/>
      <w:color w:val="404040" w:themeColor="text1" w:themeTint="BF"/>
    </w:rPr>
  </w:style>
  <w:style w:type="paragraph" w:styleId="ListParagraph">
    <w:name w:val="List Paragraph"/>
    <w:basedOn w:val="Normal"/>
    <w:uiPriority w:val="34"/>
    <w:qFormat/>
    <w:rsid w:val="00B65456"/>
    <w:pPr>
      <w:ind w:left="720"/>
      <w:contextualSpacing/>
    </w:pPr>
  </w:style>
  <w:style w:type="character" w:styleId="IntenseEmphasis">
    <w:name w:val="Intense Emphasis"/>
    <w:basedOn w:val="DefaultParagraphFont"/>
    <w:uiPriority w:val="21"/>
    <w:qFormat/>
    <w:rsid w:val="00B65456"/>
    <w:rPr>
      <w:i/>
      <w:iCs/>
      <w:color w:val="0F4761" w:themeColor="accent1" w:themeShade="BF"/>
    </w:rPr>
  </w:style>
  <w:style w:type="paragraph" w:styleId="IntenseQuote">
    <w:name w:val="Intense Quote"/>
    <w:basedOn w:val="Normal"/>
    <w:next w:val="Normal"/>
    <w:link w:val="IntenseQuoteChar"/>
    <w:uiPriority w:val="30"/>
    <w:qFormat/>
    <w:rsid w:val="00F55E6D"/>
    <w:pPr>
      <w:pBdr>
        <w:top w:val="single" w:color="156082" w:themeColor="accent1" w:sz="4" w:space="10"/>
        <w:bottom w:val="single" w:color="156082" w:themeColor="accent1"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65456"/>
    <w:rPr>
      <w:i/>
      <w:iCs/>
      <w:color w:val="0F4761" w:themeColor="accent1" w:themeShade="BF"/>
    </w:rPr>
  </w:style>
  <w:style w:type="character" w:styleId="IntenseReference">
    <w:name w:val="Intense Reference"/>
    <w:basedOn w:val="DefaultParagraphFont"/>
    <w:uiPriority w:val="32"/>
    <w:qFormat/>
    <w:rsid w:val="00B65456"/>
    <w:rPr>
      <w:b/>
      <w:bCs/>
      <w:smallCaps/>
      <w:color w:val="0F4761" w:themeColor="accent1" w:themeShade="BF"/>
      <w:spacing w:val="5"/>
    </w:rPr>
  </w:style>
  <w:style w:type="table" w:styleId="TableGrid">
    <w:name w:val="Table Grid"/>
    <w:basedOn w:val="TableNormal"/>
    <w:uiPriority w:val="39"/>
    <w:rsid w:val="0093707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41208F"/>
    <w:pPr>
      <w:spacing w:before="100" w:beforeAutospacing="1" w:after="100" w:afterAutospacing="1" w:line="240" w:lineRule="auto"/>
    </w:pPr>
    <w:rPr>
      <w:rFonts w:ascii="Times New Roman" w:hAnsi="Times New Roman" w:cs="Times New Roman" w:eastAsiaTheme="minorEastAsia"/>
      <w:kern w:val="0"/>
      <w:sz w:val="24"/>
      <w:szCs w:val="24"/>
      <w:lang w:val="es-US" w:eastAsia="es-MX"/>
      <w14:ligatures w14:val="none"/>
    </w:rPr>
  </w:style>
  <w:style w:type="character" w:styleId="TtuloCar1" w:customStyle="1">
    <w:name w:val="Título Car1"/>
    <w:basedOn w:val="DefaultParagraphFont"/>
    <w:uiPriority w:val="10"/>
    <w:rsid w:val="004B1E16"/>
    <w:rPr>
      <w:rFonts w:asciiTheme="majorHAnsi" w:hAnsiTheme="majorHAnsi" w:eastAsiaTheme="majorEastAsia" w:cstheme="majorBidi"/>
      <w:spacing w:val="-10"/>
      <w:kern w:val="28"/>
      <w:sz w:val="56"/>
      <w:szCs w:val="56"/>
    </w:rPr>
  </w:style>
  <w:style w:type="character" w:styleId="SubttuloCar1" w:customStyle="1">
    <w:name w:val="Subtítulo Car1"/>
    <w:basedOn w:val="DefaultParagraphFont"/>
    <w:uiPriority w:val="11"/>
    <w:rsid w:val="004B1E16"/>
    <w:rPr>
      <w:rFonts w:eastAsiaTheme="minorEastAsia"/>
      <w:color w:val="5A5A5A" w:themeColor="text1" w:themeTint="A5"/>
      <w:spacing w:val="15"/>
    </w:rPr>
  </w:style>
  <w:style w:type="character" w:styleId="CitaCar1" w:customStyle="1">
    <w:name w:val="Cita Car1"/>
    <w:basedOn w:val="DefaultParagraphFont"/>
    <w:uiPriority w:val="29"/>
    <w:rsid w:val="004B1E16"/>
    <w:rPr>
      <w:i/>
      <w:iCs/>
      <w:color w:val="404040" w:themeColor="text1" w:themeTint="BF"/>
    </w:rPr>
  </w:style>
  <w:style w:type="character" w:styleId="CitadestacadaCar1" w:customStyle="1">
    <w:name w:val="Cita destacada Car1"/>
    <w:basedOn w:val="DefaultParagraphFont"/>
    <w:uiPriority w:val="30"/>
    <w:rsid w:val="004B1E16"/>
    <w:rPr>
      <w:i/>
      <w:iCs/>
      <w:color w:val="156082"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f25ac5d-820e-433e-8460-6c0c6dd4e7e8}" enabled="0" method="" siteId="{0f25ac5d-820e-433e-8460-6c0c6dd4e7e8}"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EQ GNARVAEZ</dc:creator>
  <keywords/>
  <dc:description/>
  <lastModifiedBy>Santiago Jose Vargas Triviño</lastModifiedBy>
  <revision>16</revision>
  <dcterms:created xsi:type="dcterms:W3CDTF">2026-07-27T22:02:00.0000000Z</dcterms:created>
  <dcterms:modified xsi:type="dcterms:W3CDTF">2026-07-30T14:28:14.5262791Z</dcterms:modified>
</coreProperties>
</file>